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HStruktG 2 — Bundesausbildungsförderungsrecht</w:t>
      </w:r>
    </w:p>
    <w:p>
      <w:r>
        <w:rPr>
          <w:color w:val="555555"/>
          <w:sz w:val="18"/>
        </w:rPr>
        <w:t xml:space="preserve">2. Haushaltsstrukturgesetz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- (3)</w:t>
      </w:r>
    </w:p>
    <w:p>
      <w:r>
        <w:t xml:space="preserve">(4) Die nach § 35 des Bundesausbildungsförderungsgesetzes für das Jahr 1982 vorgeschriebene Überprüfung erfolgt im Jahre 1983.</w:t>
      </w:r>
    </w:p>
    <w:p>
      <w:r>
        <w:rPr>
          <w:color w:val="555555"/>
          <w:sz w:val="17"/>
        </w:rPr>
        <w:t xml:space="preserve">Zitiervorschlag: Art 8 HStruktG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https://recht.nulegal.eu/gesetze/HStruktG%202/8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