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HStruktG 2 — Bundesbesoldungsgesetz</w:t>
      </w:r>
    </w:p>
    <w:p>
      <w:r>
        <w:rPr>
          <w:color w:val="555555"/>
          <w:sz w:val="18"/>
        </w:rPr>
        <w:t xml:space="preserve">2. Haushaltsstrukturgesetz</w:t>
      </w:r>
    </w:p>
    <w:p>
      <w:r>
        <w:rPr>
          <w:color w:val="555555"/>
          <w:sz w:val="18"/>
        </w:rPr>
        <w:t xml:space="preserve">Stand: 10.06.2019 (konsolidierte Textfassung, kein amtliches Inkrafttretensdatum)</w:t>
      </w:r>
    </w:p>
    <w:p>
      <w:r>
        <w:t xml:space="preserve">1.</w:t>
      </w:r>
    </w:p>
    <w:p>
      <w:pPr>
        <w:ind w:left="420"/>
      </w:pPr>
      <w:r>
        <w:t xml:space="preserve">2. a)</w:t>
      </w:r>
    </w:p>
    <w:p>
      <w:pPr>
        <w:ind w:left="780"/>
      </w:pPr>
      <w:r>
        <w:t xml:space="preserve">b) Für den Wegfall des örtlichen Sonderzuschlages für Berlin wird folgende Übergangsregelung getroffen:</w:t>
      </w:r>
    </w:p>
    <w:p>
      <w:pPr>
        <w:ind w:left="1140"/>
      </w:pPr>
      <w:r>
        <w:t xml:space="preserve">aa) Der örtliche Sonderzuschlag für Berlin (§ 74 des Bundesbesoldungsgesetzes, § 50 Abs. 2 des Beamtenversorgungsgesetzes, § 47 Abs. 3 und § 89a des Soldatenversorgungsgesetzes in der am 31. Dezember 1981 geltenden Fassung) wird nach Maßgabe des Doppelbuchstaben bb übergangsweise weitergezahlt; allgemeine Erhöhungen der Grundgehälter nach dem 31. Dezember 1981 führen nicht zu einer Erhöhung des örtlichen Sonderzuschlages.</w:t>
      </w:r>
    </w:p>
    <w:p>
      <w:pPr>
        <w:ind w:left="1140"/>
      </w:pPr>
      <w:r>
        <w:t xml:space="preserve">bb) Der örtliche Sonderzuschlag vermindert sich bei jeder nach dem 31. Dezember 1981 in Kraft tretenden allgemeinen Besoldungsverbesserung um ein Drittel des Betrages nach dem Stande vom 31. Dezember 1981. Die Verminderung tritt von dem Zeitpunkt an ein, zu dem die allgemeine Besoldungsverbesserung in Kraft tritt.</w:t>
      </w:r>
    </w:p>
    <w:p>
      <w:r>
        <w:t xml:space="preserve">3. 4.</w:t>
      </w:r>
    </w:p>
    <w:p>
      <w:pPr>
        <w:ind w:left="420"/>
      </w:pPr>
      <w:r>
        <w:t xml:space="preserve">5. Vorschriften für Versorgungsempfänger</w:t>
      </w:r>
    </w:p>
    <w:p>
      <w:r>
        <w:t xml:space="preserve">(1) Die Fußnote zu Anlage IX zum Bundesbesoldungsgesetz findet auch auf die am 1. März 1982 vorhandenen Versorgungsempfänger Anwendung.</w:t>
      </w:r>
    </w:p>
    <w:p>
      <w:r>
        <w:t xml:space="preserve">(2) Versorgungsbezüge, die nicht nach vorstehendem Absatz 1 oder nach § 41a des Bundesbesoldungsgesetzes in Verbindung mit § 50 Abs. 1 Satz 1 des Beamtenversorgungsgesetzes, § 47 Abs. 1 Satz 1 des Soldatenversorgungsgesetzes gekürzt werden, werden vom 1. März 1982 an um 0,7 vom Hundert gekürzt.</w:t>
      </w:r>
    </w:p>
    <w:p>
      <w:r>
        <w:t xml:space="preserve">(3) Der durchschnittliche Hundertsatz der allgemeinen Verminderung der Dienstbezüge im Sinne des § 70 Abs. 3 des Beamtenversorgungsgesetzes vom 24. August 1976 (BGBl. I S. 2485), das zuletzt durch Artikel 5 des Gesetzes vom 20. August 1980 (BGBl. I S. 1509) geändert worden ist, wird für das Zweite Haushaltsstrukturgesetz auf 0,7 vom Hundert festgestellt.</w:t>
      </w:r>
    </w:p>
    <w:p>
      <w:r>
        <w:rPr>
          <w:color w:val="555555"/>
          <w:sz w:val="17"/>
        </w:rPr>
        <w:t xml:space="preserve">Zitiervorschlag: Art 1 HStruktG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https://recht.nulegal.eu/gesetze/HStruktG%202/1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