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HStatG 1990 — Erhebungsmerkmale bei Einrichtungen nach § 2 Nummer 1 und 2 (Hochschulen, Hochschulkliniken sowie staatliche und kirchliche Prüfungsämter)</w:t>
      </w:r>
    </w:p>
    <w:p>
      <w:r>
        <w:rPr>
          <w:color w:val="555555"/>
          <w:sz w:val="18"/>
        </w:rPr>
        <w:t xml:space="preserve">Hochschulstatistikgesetz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den in § 2 Nummer 1 und 2 genannten Einrichtungen werden für die Prüfungsteilnehmenden, soweit die Merkmale nicht bereits nach § 3 Absatz 1 erhoben werden, folgende Erhebungsmerkmale semesterweise nach Abschluss des Prüfungsverfahrens erfasst:</w:t>
      </w:r>
    </w:p>
    <w:p>
      <w:pPr>
        <w:ind w:left="420"/>
      </w:pPr>
      <w:r>
        <w:t xml:space="preserve">1. Bezeichnung der Hochschule;</w:t>
      </w:r>
    </w:p>
    <w:p>
      <w:pPr>
        <w:ind w:left="420"/>
      </w:pPr>
      <w:r>
        <w:t xml:space="preserve">2. Geschlecht;</w:t>
      </w:r>
    </w:p>
    <w:p>
      <w:pPr>
        <w:ind w:left="420"/>
      </w:pPr>
      <w:r>
        <w:t xml:space="preserve">3. Geburtsmonat und -jahr;</w:t>
      </w:r>
    </w:p>
    <w:p>
      <w:pPr>
        <w:ind w:left="420"/>
      </w:pPr>
      <w:r>
        <w:t xml:space="preserve">4. Staatsangehörigkeit;</w:t>
      </w:r>
    </w:p>
    <w:p>
      <w:pPr>
        <w:ind w:left="420"/>
      </w:pPr>
      <w:r>
        <w:t xml:space="preserve">5. Art und Fachrichtung der abgeschlossenen Prüfung;</w:t>
      </w:r>
    </w:p>
    <w:p>
      <w:pPr>
        <w:ind w:left="420"/>
      </w:pPr>
      <w:r>
        <w:t xml:space="preserve">6. Monat und Jahr des Prüfungsabschlusses;</w:t>
      </w:r>
    </w:p>
    <w:p>
      <w:pPr>
        <w:ind w:left="420"/>
      </w:pPr>
      <w:r>
        <w:t xml:space="preserve">7. Fachsemesterzahl beim Prüfungsabschluss;</w:t>
      </w:r>
    </w:p>
    <w:p>
      <w:pPr>
        <w:ind w:left="420"/>
      </w:pPr>
      <w:r>
        <w:t xml:space="preserve">8. Prüfungserfolg und Gesamtnote;</w:t>
      </w:r>
    </w:p>
    <w:p>
      <w:pPr>
        <w:ind w:left="420"/>
      </w:pPr>
      <w:r>
        <w:t xml:space="preserve">9. bei Promotionsabsolventinnen und Promotionsabsolventen zusätzlich die Art der Promotion;</w:t>
      </w:r>
    </w:p>
    <w:p>
      <w:pPr>
        <w:ind w:left="420"/>
      </w:pPr>
      <w:r>
        <w:t xml:space="preserve">10. Anzahl der für den Studiengang anerkannten ECTS-Punkte (ECTS: Europäisches System zur Übertragung und Akkumulierung von Studienleistungen);</w:t>
      </w:r>
    </w:p>
    <w:p>
      <w:pPr>
        <w:ind w:left="420"/>
      </w:pPr>
      <w:r>
        <w:t xml:space="preserve">11. Anzahl der für den Studiengang anerkannten ECTS-Punkte auf Grund außerhalb der Hochschule erworbener beruflicher Qualifikationen;</w:t>
      </w:r>
    </w:p>
    <w:p>
      <w:pPr>
        <w:ind w:left="420"/>
      </w:pPr>
      <w:r>
        <w:t xml:space="preserve">12. Anzahl der im Ausland erworbenen ECTS-Punkte, die an der jeweiligen Hochschule in Deutschland für den Studiengang anerkannt werden;</w:t>
      </w:r>
    </w:p>
    <w:p>
      <w:pPr>
        <w:ind w:left="420"/>
      </w:pPr>
      <w:r>
        <w:t xml:space="preserve">13. für studienbezogene Auslandsaufenthalte jeweils Art des Aufenthalts; Dauer des Aufenthalts in Monaten; Staat des Aufenthalts sowie Art des Mobilitätsprogramms.</w:t>
      </w:r>
    </w:p>
    <w:p>
      <w:r>
        <w:rPr>
          <w:color w:val="555555"/>
          <w:sz w:val="17"/>
        </w:rPr>
        <w:t xml:space="preserve">Zitiervorschlag: § 4 HStatG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https://recht.nulegal.eu/gesetze/HStatG%201990/4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