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HStatG 1990 — Erhebungsbereich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erstrecken sich auf:</w:t>
      </w:r>
    </w:p>
    <w:p>
      <w:pPr>
        <w:ind w:left="420"/>
      </w:pPr>
      <w:r>
        <w:t xml:space="preserve">1. Hochschulen einschließlich der Hochschulkliniken und sonstiger der Ausbildung von Studenten dienenden Krankenanstalten,</w:t>
      </w:r>
    </w:p>
    <w:p>
      <w:pPr>
        <w:ind w:left="420"/>
      </w:pPr>
      <w:r>
        <w:t xml:space="preserve">2. staatliche und kirchliche Prüfungsämter, soweit sie Prüfungen abnehmen, die ein Studium an den in Nummer 1 genannten Einrichtungen abschließen, und</w:t>
      </w:r>
    </w:p>
    <w:p>
      <w:pPr>
        <w:ind w:left="420"/>
      </w:pPr>
      <w:r>
        <w:t xml:space="preserve">3. Berufsakademien.</w:t>
      </w:r>
    </w:p>
    <w:p>
      <w:r>
        <w:rPr>
          <w:color w:val="555555"/>
          <w:sz w:val="17"/>
        </w:rPr>
        <w:t xml:space="preserve">Zitiervorschlag: § 2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