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HSeeZG — Datenverarbeitung</w:t>
      </w:r>
    </w:p>
    <w:p>
      <w:r>
        <w:rPr>
          <w:color w:val="555555"/>
          <w:sz w:val="18"/>
        </w:rPr>
        <w:t xml:space="preserve">Hohe-See-Zusammenarbeitsgesetz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nach diesem Gesetz zuständigen Bundesbehörden können personenbezogene Daten, auch automatisiert, verarbeiten, wenn es zur Erfüllung ihrer Aufgaben nach diesem Gesetz erforderlich ist. Dies betrifft insbesondere personenbezogene Daten,</w:t>
      </w:r>
    </w:p>
    <w:p>
      <w:pPr>
        <w:ind w:left="420"/>
      </w:pPr>
      <w:r>
        <w:t xml:space="preserve">1. die der zuständigen Behörde von einem ausländischen Staat oder die von der zuständigen Behörde an einen ausländischen Staat übermittelt werden, um einen Verstoß gegen Sanktionsrecht der Vereinten Nationen nach § 1 Absatz 1 und § 2 Absatz 1 zu verhindern,</w:t>
      </w:r>
    </w:p>
    <w:p>
      <w:pPr>
        <w:ind w:left="420"/>
      </w:pPr>
      <w:r>
        <w:t xml:space="preserve">2. die der zuständigen Behörde durch den Kapitän eines Schiffes nach § 3 Absatz 1 und 3 übermittelt werden,</w:t>
      </w:r>
    </w:p>
    <w:p>
      <w:pPr>
        <w:ind w:left="420"/>
      </w:pPr>
      <w:r>
        <w:t xml:space="preserve">3. die der zuständigen Behörde von einem ausländischen Staat oder die von der zuständigen Behörde an einen ausländischen Staat übermittelt werden,</w:t>
      </w:r>
    </w:p>
    <w:p>
      <w:r>
        <w:t xml:space="preserve">um Strafverfolgungsmaßnahmen nach § 5 Absatz 1 bis 3 durchzusetzen.</w:t>
      </w:r>
    </w:p>
    <w:p>
      <w:r>
        <w:rPr>
          <w:color w:val="555555"/>
          <w:sz w:val="17"/>
        </w:rPr>
        <w:t xml:space="preserve">Zitiervorschlag: § 7 HSeeZG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https://recht.nulegal.eu/gesetze/HSeeZG/7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