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HSeeZG — Unberührtheitsklausel</w:t>
      </w:r>
    </w:p>
    <w:p>
      <w:r>
        <w:rPr>
          <w:color w:val="555555"/>
          <w:sz w:val="18"/>
        </w:rPr>
        <w:t xml:space="preserve">Hohe-See-Zusammenarbeitsgesetz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Maßnahmen der Bundespolizei auf See seewärts der Grenze des deutschen Küstenmeeres nach dem Bundespolizeigesetz erfolgen unbeschadet der Befugnisse der zuständigen Behörden nach diesem Gesetz.</w:t>
      </w:r>
    </w:p>
    <w:p>
      <w:r>
        <w:t xml:space="preserve">(2) Die Bestimmungen des Gesetzes über die internationale Rechtshilfe in Strafsachen bleiben unberührt, soweit in diesem Gesetz nicht abweichend geregelt.</w:t>
      </w:r>
    </w:p>
    <w:p>
      <w:r>
        <w:rPr>
          <w:color w:val="555555"/>
          <w:sz w:val="17"/>
        </w:rPr>
        <w:t xml:space="preserve">Zitiervorschlag: § 11 HSeeZG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https://recht.nulegal.eu/gesetze/HSeeZG/11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