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HSchmidtStiftG — Stiftungsvermögen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Die Stiftung ist berechtigt, Zuwendungen von dritter Seite anzunehmen.</w:t>
      </w:r>
    </w:p>
    <w:p>
      <w:r>
        <w:t xml:space="preserve">(3) Zur Erfüllung des Stiftungszwecks erhält die Stiftung einen jährlichen Zuschuss des Bundes nach Maßgabe des jeweiligen Bundeshaushaltsgesetzes.</w:t>
      </w:r>
    </w:p>
    <w:p>
      <w:r>
        <w:t xml:space="preserve">(4) Erträgnisse des Stiftungsvermögens und sonstige Einnahmen sind nur im Sinne des Stiftungszwecks zu verwenden.</w:t>
      </w:r>
    </w:p>
    <w:p>
      <w:r>
        <w:rPr>
          <w:color w:val="555555"/>
          <w:sz w:val="17"/>
        </w:rPr>
        <w:t xml:space="preserve">Zitiervorschlag: § 3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