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HSchmidtStiftG — Inkrafttreten</w:t>
      </w:r>
    </w:p>
    <w:p>
      <w:r>
        <w:rPr>
          <w:color w:val="555555"/>
          <w:sz w:val="18"/>
        </w:rPr>
        <w:t xml:space="preserve">Gesetz über die Errichtung einer Bundeskanzler-Helmut-Schmidt-Stiftung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2017 in Kraft.</w:t>
      </w:r>
    </w:p>
    <w:p>
      <w:r>
        <w:rPr>
          <w:color w:val="555555"/>
          <w:sz w:val="17"/>
        </w:rPr>
        <w:t xml:space="preserve">Zitiervorschlag: § 14 HSchmidtStiftG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https://recht.nulegal.eu/gesetze/HSchmidtStiftG/14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