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HSchPrüferV (Bayern)</w:t>
      </w:r>
    </w:p>
    <w:p>
      <w:r>
        <w:rPr>
          <w:color w:val="555555"/>
          <w:sz w:val="18"/>
        </w:rPr>
        <w:t xml:space="preserve">Hochschulprüferverordnung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80 Abs. 6 Satz 1 Nrn. 2 und 3 in Verbindung mit Art. 135 Abs. 1 des Bayerischen Hochschulgesetzes (BayHSchG) in der Fassung der Bekanntmachung vom 2. Oktober 1998 (GVBl S. 741, BayRS 2210-1-1-WFK), zuletzt geändert durch § 5 des Gesetzes vom 22. Juli 1999 (GVBl S. 300), in Verbindung mit Art. 1 Abs. 1 Satz 1 des Dritten Gesetzes zur Überleitung von Zuständigkeiten vom 29. Dezember 1998 (GVBl S. 1013, BayRS 1102-9-S), erlässt das Bayerische Staatsministerium für Wissenschaft, Forschung und Kunst folgende Verordnung:</w:t>
      </w:r>
    </w:p>
    <w:p>
      <w:r>
        <w:rPr>
          <w:color w:val="555555"/>
          <w:sz w:val="17"/>
        </w:rPr>
        <w:t xml:space="preserve">Zitiervorschlag: Eingangsformel HSchPrüferV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https://recht.nulegal.eu/gesetze/HSchPr%C3%BCferV/eingangsformel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