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HSSteuVO (Sachsen) — Inkrafttreten, Außerkrafttreten</w:t>
      </w:r>
    </w:p>
    <w:p>
      <w:r>
        <w:rPr>
          <w:color w:val="555555"/>
          <w:sz w:val="18"/>
        </w:rPr>
        <w:t xml:space="preserve">Hochschulsteuerungsverordnung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mit Wirkung vom 1. Januar 2025 in Kraft. Gleichzeitig tritt die Hochschulsteuerungsverordnung vom 20. Dezember 2022 (SächsGVBl. 2023 S. 18) außer Kraft.</w:t>
      </w:r>
    </w:p>
    <w:p>
      <w:r>
        <w:t xml:space="preserve">Dresden, den 20. März 2025</w:t>
      </w:r>
    </w:p>
    <w:p>
      <w:r>
        <w:t xml:space="preserve">Der Staatsminister für Wissenschaft, Kultur und Tourismus</w:t>
      </w:r>
    </w:p>
    <w:p>
      <w:r>
        <w:t xml:space="preserve">Sebastian Gemkow</w:t>
      </w:r>
    </w:p>
    <w:p>
      <w:r>
        <w:rPr>
          <w:color w:val="555555"/>
          <w:sz w:val="17"/>
        </w:rPr>
        <w:t xml:space="preserve">Zitiervorschlag: § 9 HSSteuVO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https://recht.nulegal.eu/gesetze/HSSteuVO/9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