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HSSteuVO (Sachsen) — Anwendungsbereich</w:t>
      </w:r>
    </w:p>
    <w:p>
      <w:r>
        <w:rPr>
          <w:color w:val="555555"/>
          <w:sz w:val="18"/>
        </w:rPr>
        <w:t xml:space="preserve">Hochschulsteuerungsverordnung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für die in § 1 Absatz 1 Satz 1 des Sächsischen Hochschulgesetzes genannten Hochschulen mit Ausnahme der Medizinischen Fakultäten.</w:t>
      </w:r>
    </w:p>
    <w:p>
      <w:r>
        <w:rPr>
          <w:color w:val="555555"/>
          <w:sz w:val="17"/>
        </w:rPr>
        <w:t xml:space="preserve">Zitiervorschlag: § 1 HSSteuVO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https://recht.nulegal.eu/gesetze/HSSteuVO/1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