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HSPV (Brandenburg) — Geltungsbereich</w:t>
      </w:r>
    </w:p>
    <w:p>
      <w:r>
        <w:rPr>
          <w:color w:val="555555"/>
          <w:sz w:val="18"/>
        </w:rPr>
        <w:t xml:space="preserve">Hochschulprüfungsverordnung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 Verordnung gilt für alle Studiengänge mit einer Hochschulprüfung, auf Grund derer ein Bachelor- oder Mastergrad verliehen wird.</w:t>
      </w:r>
    </w:p>
    <w:p>
      <w:r>
        <w:t xml:space="preserve">(2) Auf Diplom- und Magisterstudiengänge, in denen das Lehrangebot modularisiert und mit Leistungspunkten versehen ist, finden die nachfolgenden Bestimmungen entsprechende Anwendung.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HSPV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https://recht.nulegal.eu/gesetze/HSPV/1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