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HSPV-GZÜVO (Nordrhein-Westfalen)</w:t>
      </w:r>
    </w:p>
    <w:p>
      <w:r>
        <w:rPr>
          <w:color w:val="555555"/>
          <w:sz w:val="18"/>
        </w:rPr>
        <w:t xml:space="preserve">HSPV-Gebührenzuständigkeitsübertragungsverordnung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 und am 31. Dezember 2028 außer Kraft.</w:t>
      </w:r>
    </w:p>
    <w:p>
      <w:r>
        <w:t xml:space="preserve">Die Landesregierung Nordrhein-Westfalen</w:t>
      </w:r>
    </w:p>
    <w:p>
      <w:r>
        <w:t xml:space="preserve">Der Minister des Innern</w:t>
      </w:r>
    </w:p>
    <w:p>
      <w:r>
        <w:rPr>
          <w:color w:val="555555"/>
          <w:sz w:val="17"/>
        </w:rPr>
        <w:t xml:space="preserve">Zitiervorschlag: § 2 HSPV-GZÜVO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https://recht.nulegal.eu/gesetze/HSPV-GZ%C3%9CVO/2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