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HSLAUSITZ_2014 (Brandenburg) — Hochschulzugang</w:t>
      </w:r>
    </w:p>
    <w:p>
      <w:r>
        <w:rPr>
          <w:color w:val="555555"/>
          <w:sz w:val="18"/>
        </w:rPr>
        <w:t xml:space="preserve">Gesetz zur Weiterentwicklung der Hochschulregion Lausitz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Abweichend von § 10 Absatz 2 Satz 2 des Brandenburgischen Hochschulgesetzes berechtigt die Fachhochschulreife auch zu einem grundständigen Studium an der Brandenburgischen Technischen Universität Cottbus-Senftenberg</w:t>
      </w:r>
    </w:p>
    <w:p>
      <w:r>
        <w:t xml:space="preserve">in Studiengängen, für die die Brandenburgische Technische Universität Cottbus-Senftenberg dies durch Satzung entsprechend dem Profil der Studiengänge festlegt und</w:t>
      </w:r>
    </w:p>
    <w:p>
      <w:r>
        <w:t xml:space="preserve">in Studiengängen der Hochschule Lausitz (FH), die nach § 1 Absatz 2 fortgeführt werden.</w:t>
      </w:r>
    </w:p>
    <w:p>
      <w:r>
        <w:rPr>
          <w:color w:val="555555"/>
          <w:sz w:val="17"/>
        </w:rPr>
        <w:t xml:space="preserve">Zitiervorschlag: § 4 HSLAUSITZ_2014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https://recht.nulegal.eu/gesetze/HSLAUSITZ_2014/4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