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HSLAUSITZ_2014 (Brandenburg) — Rechtsnachfolge</w:t>
      </w:r>
    </w:p>
    <w:p>
      <w:r>
        <w:rPr>
          <w:color w:val="555555"/>
          <w:sz w:val="18"/>
        </w:rPr>
        <w:t xml:space="preserve">Gesetz zur Weiterentwicklung der Hochschulregion Lausitz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Zum 1. Juli 2013 gehen die Brandenburgische Technische Universität Cottbus und die Hochschule Lausitz (FH) mit den Standorten Cottbus und Senftenberg in der Brandenburgischen Technischen Universität Cottbus-Senftenberg auf.</w:t>
      </w:r>
    </w:p>
    <w:p>
      <w:r>
        <w:t xml:space="preserve">(2) Die Brandenburgische Technische Universität Cottbus-Senftenberg ist ab dem Zeitpunkt ihrer Errichtung Rechtsnachfolgerin der Brandenburgischen Technischen Universität Cottbus und der Hochschule Lausitz (FH).</w:t>
      </w:r>
    </w:p>
    <w:p>
      <w:r>
        <w:t xml:space="preserve">(3) Der Sitz der Verwaltung der Brandenburgischen Technischen Universität Cottbus-Senftenberg im Sinne von § 17 der Zivilprozessordnung ist in Cottbus.</w:t>
      </w:r>
    </w:p>
    <w:p>
      <w:r>
        <w:rPr>
          <w:color w:val="555555"/>
          <w:sz w:val="17"/>
        </w:rPr>
        <w:t xml:space="preserve">Zitiervorschlag: § 21 HSLAUSITZ_2014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https://recht.nulegal.eu/gesetze/HSLAUSITZ_2014/21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