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HSLAUSITZ_2014 (Brandenburg) — Studierendenschaft</w:t>
      </w:r>
    </w:p>
    <w:p>
      <w:r>
        <w:rPr>
          <w:color w:val="555555"/>
          <w:sz w:val="18"/>
        </w:rPr>
        <w:t xml:space="preserve">Gesetz zur Weiterentwicklung der Hochschulregion Lausitz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 30. Juni 2013 bestehenden Studierendenschaften der Brandenburgischen Technischen Universität Cottbus und der Hochschule Lausitz (FH) bilden die Studierendenschaft der Brandenburgischen Technischen Universität Cottbus-Senftenberg. Zur Rechtsnachfolge gilt § 21 Absatz 2 entsprechend.</w:t>
      </w:r>
    </w:p>
    <w:p>
      <w:r>
        <w:t xml:space="preserve">(2) (aufgehoben)</w:t>
      </w:r>
    </w:p>
    <w:p>
      <w:r>
        <w:t xml:space="preserve">(3) (aufgehoben)</w:t>
      </w:r>
    </w:p>
    <w:p>
      <w:r>
        <w:t xml:space="preserve">(4) (aufgehoben)</w:t>
      </w:r>
    </w:p>
    <w:p>
      <w:r>
        <w:t xml:space="preserve">(5) Das am 30. Juni 2013 vorhandene Vermögen der Studierendenschaften der Brandenburgischen Technischen Universität Cottbus und der Hochschule Lausitz (FH) bildet mit Wirkung vom 1. Juli 2013 das Vermögen der Studierendenschaft der Brandenburgischen Technischen Universität Cottbus-Senftenberg.</w:t>
      </w:r>
    </w:p>
    <w:p>
      <w:r>
        <w:rPr>
          <w:color w:val="555555"/>
          <w:sz w:val="17"/>
        </w:rPr>
        <w:t xml:space="preserve">Zitiervorschlag: § 18 HSLAUSITZ_2014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https://recht.nulegal.eu/gesetze/HSLAUSITZ_2014/18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