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HSLAUSITZ_2014 (Brandenburg) — Vorläufige Grundordnung, Grundordnung</w:t>
      </w:r>
    </w:p>
    <w:p>
      <w:r>
        <w:rPr>
          <w:color w:val="555555"/>
          <w:sz w:val="18"/>
        </w:rPr>
        <w:t xml:space="preserve">Gesetz zur Weiterentwicklung der Hochschulregion Lausitz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Entscheidungen in Organen oder Gremien der Brandenburgischen Technischen Universität Cottbus-Senftenberg, die</w:t>
      </w:r>
    </w:p>
    <w:p>
      <w:r>
        <w:t xml:space="preserve">Habilitationen,</w:t>
      </w:r>
    </w:p>
    <w:p>
      <w:r>
        <w:t xml:space="preserve">die Berufung von Hochschullehrerinnen und Hochschullehrern, die die Voraussetzungen nach § 41 Absatz 1 Nummer 4 Buchstabe a des Brandenburgischen Hochschulgesetzes erfüllen müssen, oder</w:t>
      </w:r>
    </w:p>
    <w:p>
      <w:r>
        <w:t xml:space="preserve">die Bewährung von Juniorprofessorinnen und Juniorprofessoren als Hochschullehrerinnen und Hochschullehrer gemäß § 46 Absatz 1 Satz 2 und § 46 Absatz 2 des Brandenburgischen Hochschulgesetzes</w:t>
      </w:r>
    </w:p>
    <w:p>
      <w:r>
        <w:t xml:space="preserve">unmittelbar betreffen, müssen die Professorinnen und Professoren, die die Einstellungsvoraussetzungen nach § 41 Absatz 1 Nummer 4 Buchstabe a des Brandenburgischen Hochschulgesetzes erfüllen und dies in einem Berufungsverfahren nachgewiesen haben, sowie die Juniorprofessorinnen und Juniorprofessoren, welche sich nach § 46 Absatz 1 Satz 2 und § 46 Absatz 2 des Brandenburgischen Hochschulgesetzes bewährt haben, über die Mehrheit der Stimmen verfügen. Das Nähere bestimmen die Grundordnungen.</w:t>
      </w:r>
    </w:p>
    <w:p>
      <w:r>
        <w:rPr>
          <w:color w:val="555555"/>
          <w:sz w:val="17"/>
        </w:rPr>
        <w:t xml:space="preserve">Zitiervorschlag: § 15 HSLAUSITZ_2014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https://recht.nulegal.eu/gesetze/HSLAUSITZ_2014/15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