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HSKV (Brandenburg) — Inkrafttreten</w:t>
      </w:r>
    </w:p>
    <w:p>
      <w:r>
        <w:rPr>
          <w:color w:val="555555"/>
          <w:sz w:val="18"/>
        </w:rPr>
        <w:t xml:space="preserve">Hochschulklinikanerkennungsverordnung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Einzelnorm</w:t>
      </w:r>
    </w:p>
    <w:p>
      <w:r>
        <w:t xml:space="preserve">Potsdam, den 9. September 2019</w:t>
      </w:r>
    </w:p>
    <w:p>
      <w:r>
        <w:t xml:space="preserve">Die Ministerin für Wissenschaft,</w:t>
      </w:r>
    </w:p>
    <w:p>
      <w:r>
        <w:t xml:space="preserve">Forschung und Kultur</w:t>
      </w:r>
    </w:p>
    <w:p>
      <w:r>
        <w:t xml:space="preserve">Dr. Martina Münch</w:t>
      </w:r>
    </w:p>
    <w:p>
      <w:r>
        <w:rPr>
          <w:color w:val="555555"/>
          <w:sz w:val="17"/>
        </w:rPr>
        <w:t xml:space="preserve">Zitiervorschlag: § 5 HSKV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https://recht.nulegal.eu/gesetze/HSKV/5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