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HSFLeistBVO (Nordrhein-Westfalen)</w:t>
      </w:r>
    </w:p>
    <w:p>
      <w:r>
        <w:rPr>
          <w:color w:val="555555"/>
          <w:sz w:val="18"/>
        </w:rPr>
        <w:t xml:space="preserve">Finanzhochschul-Leistungsbezügeverordnung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November 2005</w:t>
      </w:r>
    </w:p>
    <w:p>
      <w:r>
        <w:t xml:space="preserve">Aufgrund des § 15 des Besoldungsgesetzes für das Land Nordrhein-Westfalen (Landesbesoldungsgesetz – LBesG) in der Fassung der Bekanntmachung vom 17. Februar 2005 (GV. NRW. S. 154), zuletzt geändert durch Artikel VI des Gesetzes vom 1. März 2005 (GV. NRW. S. 69), wird verordnet:</w:t>
      </w:r>
    </w:p>
    <w:p>
      <w:r>
        <w:rPr>
          <w:color w:val="555555"/>
          <w:sz w:val="17"/>
        </w:rPr>
        <w:t xml:space="preserve">Zitiervorschlag: Volltext HSFLeistBVO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https://recht.nulegal.eu/gesetze/HSFLeistBVO/volltext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