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9 HSFLeistBVO (Nordrhein-Westfalen) — Inkrafttreten</w:t>
      </w:r>
    </w:p>
    <w:p>
      <w:r>
        <w:rPr>
          <w:color w:val="555555"/>
          <w:sz w:val="18"/>
        </w:rPr>
        <w:t xml:space="preserve">Finanzhochschul-Leistungsbezügeverordnung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Diese Verordnung tritt am 1. Januar 2006 in Kraft.</w:t>
      </w:r>
    </w:p>
    <w:p>
      <w:r>
        <w:t xml:space="preserve">Der Finanzminister</w:t>
      </w:r>
    </w:p>
    <w:p>
      <w:r>
        <w:t xml:space="preserve">des Landes Nordrhein-Westfalen</w:t>
      </w:r>
    </w:p>
    <w:p>
      <w:r>
        <w:rPr>
          <w:color w:val="555555"/>
          <w:sz w:val="17"/>
        </w:rPr>
        <w:t xml:space="preserve">Zitiervorschlag: § 9 HSFLeistBVO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https://recht.nulegal.eu/gesetze/HSFLeistBVO/9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