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HSFLeistBVO (Nordrhein-Westfalen) — Ruhegehaltfähigkeit</w:t>
      </w:r>
    </w:p>
    <w:p>
      <w:r>
        <w:rPr>
          <w:color w:val="555555"/>
          <w:sz w:val="18"/>
        </w:rPr>
        <w:t xml:space="preserve">Finanzhochschul-Leistungsbezügeverordnung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Befristet gewährte Leistungsbezüge können nach Maßgabe des § 37 des Landesbesoldungsgesetzes mit Zustimmung des für Finanzen zuständigen Ministeriums für ruhegehaltfähig erklärt werden.</w:t>
      </w:r>
    </w:p>
    <w:p>
      <w:r>
        <w:rPr>
          <w:color w:val="555555"/>
          <w:sz w:val="17"/>
        </w:rPr>
        <w:t xml:space="preserve">Zitiervorschlag: § 7 HSFLeistBVO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https://recht.nulegal.eu/gesetze/HSFLeistBVO/7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