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HSFLeistBVO (Nordrhein-Westfalen) — Höhe der Leistungsbezüge</w:t>
      </w:r>
    </w:p>
    <w:p>
      <w:r>
        <w:rPr>
          <w:color w:val="555555"/>
          <w:sz w:val="18"/>
        </w:rPr>
        <w:t xml:space="preserve">Finanzhochschul-Leistungsbezügeverordnung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Einzelfall können Leistungsbezüge insgesamt bis zur Höhe des Unterschiedsbetrages zwischen dem Grundgehalt der Besoldungsgruppe des übertragenen Amtes und dem Endgrundgehalt der Besoldungsgruppe A 16 festgesetzt werden.</w:t>
      </w:r>
    </w:p>
    <w:p>
      <w:r>
        <w:rPr>
          <w:color w:val="555555"/>
          <w:sz w:val="17"/>
        </w:rPr>
        <w:t xml:space="preserve">Zitiervorschlag: § 6 HSFLeistBVO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https://recht.nulegal.eu/gesetze/HSFLeistBVO/6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