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HSFLeistBVO (Nordrhein-Westfalen) — Geltungsbereich</w:t>
      </w:r>
    </w:p>
    <w:p>
      <w:r>
        <w:rPr>
          <w:color w:val="555555"/>
          <w:sz w:val="18"/>
        </w:rPr>
        <w:t xml:space="preserve">Finanzhochschul-Leistungsbezügeverordnung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Grundsätze, die Zuständigkeit und das Verfahren für die Gewährung von Leistungsbezügen nach Maßgabe des § 33 des Landesbesoldungsgesetzes an die Professorinnen und Professoren der Besoldungsgruppen W 2 und W 3 an der Hochschule für Finanzen Nordrhein-Westfalen.</w:t>
      </w:r>
    </w:p>
    <w:p>
      <w:r>
        <w:rPr>
          <w:color w:val="555555"/>
          <w:sz w:val="17"/>
        </w:rPr>
        <w:t xml:space="preserve">Zitiervorschlag: § 1 HSFLeistBVO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https://recht.nulegal.eu/gesetze/HSFLeistBVO/1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