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HSDAVO (Sachsen)</w:t>
      </w:r>
    </w:p>
    <w:p>
      <w:r>
        <w:rPr>
          <w:color w:val="555555"/>
          <w:sz w:val="18"/>
        </w:rPr>
        <w:t xml:space="preserve">Hochschuldienstaufgabenverordnung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 des § 79 Absatz 1 des Sächsischen Hochschulgesetzes vom 31. Mai 2023 (SächsGVBl. S. 329), der durch Artikel 2 des Gesetzes vom 31. Januar 2024 (SächsGVBl. S. 83) geändert worden ist, verordnet das Staatsministerium für Wissenschaft, Kultur und Tourismus:</w:t>
      </w:r>
    </w:p>
    <w:p>
      <w:r>
        <w:rPr>
          <w:color w:val="555555"/>
          <w:sz w:val="17"/>
        </w:rPr>
        <w:t xml:space="preserve">Zitiervorschlag: Eingangsformel HSDAVO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https://recht.nulegal.eu/gesetze/HSDAVO/eingangsformel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