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HSDAVO (Sachsen) — Übergangsbestimmungen für die Duale Hochschule Sachsen</w:t>
      </w:r>
    </w:p>
    <w:p>
      <w:r>
        <w:rPr>
          <w:color w:val="555555"/>
          <w:sz w:val="18"/>
        </w:rPr>
        <w:t xml:space="preserve">Hochschuldienstaufgabenverordnung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Gemäß § 3 Absatz 4 der Sächsischen Berufsakademie-Dienstaufgabenverordnung vom 26. Juli 2019 (SächsGVBl. S. 602) zu viel geleistete, nicht ausgeglichene Lehrveranstaltungsstunden gelten als zu viel geleistete Lehrveranstaltungsstunden des jeweiligen Studienjahrs im Sinne von § 6 Absatz 2 Satz 3.</w:t>
      </w:r>
    </w:p>
    <w:p>
      <w:r>
        <w:t xml:space="preserve">Dresden, den 26. Februar 2024</w:t>
      </w:r>
    </w:p>
    <w:p>
      <w:r>
        <w:t xml:space="preserve">Der Staatsminister für Wissenschaft, Kultur und Tourismus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§ 17 HSDAVO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https://recht.nulegal.eu/gesetze/HSDAVO/17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