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HRegGebV</w:t>
      </w:r>
    </w:p>
    <w:p>
      <w:r>
        <w:rPr>
          <w:color w:val="555555"/>
          <w:sz w:val="18"/>
        </w:rPr>
        <w:t xml:space="preserve">Handelsregistergebührenverordnung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HRegGebV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https://recht.nulegal.eu/gesetze/HRegGebV/schlussformel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