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HRegGebV</w:t>
      </w:r>
    </w:p>
    <w:p>
      <w:r>
        <w:rPr>
          <w:color w:val="555555"/>
          <w:sz w:val="18"/>
        </w:rPr>
        <w:t xml:space="preserve">Handelsregistergebührenverordnung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79a der Kostenordnung, der durch Artikel 1 Nr. 7 des Gesetzes vom 3. Juli 2004 (BGBl. I S. 1410) eingefügt worden ist, verordnet das Bundesministerium der Justiz:</w:t>
      </w:r>
    </w:p>
    <w:p>
      <w:r>
        <w:rPr>
          <w:color w:val="555555"/>
          <w:sz w:val="17"/>
        </w:rPr>
        <w:t xml:space="preserve">Zitiervorschlag: Eingangsformel HRegGebV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https://recht.nulegal.eu/gesetze/HRegGebV/eingangsformel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