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HRegGebV — Zurücknahme oder Zurückweisung in besonderen Fällen</w:t>
      </w:r>
    </w:p>
    <w:p>
      <w:r>
        <w:rPr>
          <w:color w:val="555555"/>
          <w:sz w:val="18"/>
        </w:rPr>
        <w:t xml:space="preserve">Handelsregistergebührenverordnung</w:t>
      </w:r>
    </w:p>
    <w:p>
      <w:r>
        <w:rPr>
          <w:color w:val="555555"/>
          <w:sz w:val="18"/>
        </w:rPr>
        <w:t xml:space="preserve">Stand: 10.06.2019 (konsolidierte Textfassung, kein amtliches Inkrafttretensdatum)</w:t>
      </w:r>
    </w:p>
    <w:p>
      <w:r>
        <w:t xml:space="preserve">Wird die Anmeldung einer sonstigen späteren Eintragung, die mehrere Tatsachen zum Gegenstand hat, teilweise zurückgenommen oder zurückgewiesen, ist für jeden zurückgenommenen oder zurückgewiesenen Teil von den Gebühren 1503, 2501 und 3501 des Gebührenverzeichnisses auszugehen. § 3 Absatz 2 bleibt unberührt.</w:t>
      </w:r>
    </w:p>
    <w:p>
      <w:r>
        <w:rPr>
          <w:color w:val="555555"/>
          <w:sz w:val="17"/>
        </w:rPr>
        <w:t xml:space="preserve">Zitiervorschlag: § 5 HRegGebV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https://recht.nulegal.eu/gesetze/HRegGebV/5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