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HRegGebV — Zurückweisung</w:t>
      </w:r>
    </w:p>
    <w:p>
      <w:r>
        <w:rPr>
          <w:color w:val="555555"/>
          <w:sz w:val="18"/>
        </w:rPr>
        <w:t xml:space="preserve">Handelsregistergebührenverordnung</w:t>
      </w:r>
    </w:p>
    <w:p>
      <w:r>
        <w:rPr>
          <w:color w:val="555555"/>
          <w:sz w:val="18"/>
        </w:rPr>
        <w:t xml:space="preserve">Stand: 10.06.2019 (konsolidierte Textfassung, kein amtliches Inkrafttretensdatum)</w:t>
      </w:r>
    </w:p>
    <w:p>
      <w:r>
        <w:t xml:space="preserve">Wird eine Anmeldung zurückgewiesen, sind 170 Prozent der für die Eintragung bestimmten Gebühren zu erheben. Bei der Zurückweisung einer angemeldeten Ersteintragung bleiben die Gebühren für die gleichzeitig angemeldete Eintragung der Errichtung einer Zweigniederlassung und für die Eintragung einer Prokura unberücksichtigt.</w:t>
      </w:r>
    </w:p>
    <w:p>
      <w:r>
        <w:rPr>
          <w:color w:val="555555"/>
          <w:sz w:val="17"/>
        </w:rPr>
        <w:t xml:space="preserve">Zitiervorschlag: § 4 HRegGebV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https://recht.nulegal.eu/gesetze/HRegGebV/4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