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HRegGebV — Zurücknahme</w:t>
      </w:r>
    </w:p>
    <w:p>
      <w:r>
        <w:rPr>
          <w:color w:val="555555"/>
          <w:sz w:val="18"/>
        </w:rPr>
        <w:t xml:space="preserve">Handelsregistergebührenverordnung</w:t>
      </w:r>
    </w:p>
    <w:p>
      <w:r>
        <w:rPr>
          <w:color w:val="555555"/>
          <w:sz w:val="18"/>
        </w:rPr>
        <w:t xml:space="preserve">Stand: 10.06.2019 (konsolidierte Textfassung, kein amtliches Inkrafttretensdatum)</w:t>
      </w:r>
    </w:p>
    <w:p>
      <w:r>
        <w:t xml:space="preserve">(1) Wird eine Anmeldung zurückgenommen, bevor die Eintragung erfolgt oder die Anmeldung zurückgewiesen worden ist, sind 120 Prozent der für die Eintragung bestimmten Gebühren zu erheben. Bei der Zurücknahme einer angemeldeten Ersteintragung bleiben die Gebühren für die gleichzeitig angemeldete Eintragung der Errichtung einer Zweigniederlassung und für die Eintragung einer Prokura unberücksichtigt.</w:t>
      </w:r>
    </w:p>
    <w:p>
      <w:r>
        <w:t xml:space="preserve">(2) Erfolgt die Zurücknahme spätestens am Tag bevor eine Entscheidung des Gerichts mit der Bestimmung einer angemessenen Frist zur Beseitigung eines Hindernisses (§ 382 Absatz 4 des Gesetzes über das Verfahren in Familiensachen und in den Angelegenheiten der freiwilligen Gerichtsbarkeit) unterzeichnet wird, beträgt die Gebühr 75 Prozent der für die Eintragung bestimmten Gebühr, höchstens jedoch 250 Euro. Der unterzeichneten Entscheidung steht ein gerichtliches elektronisches Dokument gleich (§ 14 Absatz 3 des Gesetzes über das Verfahren in Familiensachen und in den Angelegenheiten der freiwilligen Gerichtsbarkeit in Verbindung mit § 130b der Zivilprozessordnung). Betrifft eine Anmeldung mehrere Tatsachen, betragen in den Fällen der Sätze 1 und 2 die auf die zurückgenommenen Teile der Anmeldung entfallenden Gebühren insgesamt höchstens 250 Euro.</w:t>
      </w:r>
    </w:p>
    <w:p>
      <w:r>
        <w:rPr>
          <w:color w:val="555555"/>
          <w:sz w:val="17"/>
        </w:rPr>
        <w:t xml:space="preserve">Zitiervorschlag: § 3 HRegGebV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https://recht.nulegal.eu/gesetze/HRegGebV/3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