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HRegGebV — Allgemeine Vorschriften</w:t>
      </w:r>
    </w:p>
    <w:p>
      <w:r>
        <w:rPr>
          <w:color w:val="555555"/>
          <w:sz w:val="18"/>
        </w:rPr>
        <w:t xml:space="preserve">Handelsregistergebührenverordnung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Neben der Gebühr für die Ersteintragung werden nur Gebühren für die gleichzeitig angemeldete Eintragung der Errichtung einer Zweigniederlassung und für die Eintragung einer Prokura gesondert erhoben.</w:t>
      </w:r>
    </w:p>
    <w:p>
      <w:r>
        <w:t xml:space="preserve">(2) Gebühren für die Bereitstellung von Registerdaten oder Dokumenten zum Abruf werden neben den Gebühren für Eintragungen im Register oder für Entgegennahmen zum Register gesondert erhoben.</w:t>
      </w:r>
    </w:p>
    <w:p>
      <w:r>
        <w:t xml:space="preserve">(3) Betrifft dieselbe spätere Anmeldung mehrere Tatsachen, ist für jede Tatsache die Gebühr gesondert zu erheben. Das Eintreten oder das Ausscheiden einzutragender Personen ist hinsichtlich einer jeden Person eine besondere Tatsache.</w:t>
      </w:r>
    </w:p>
    <w:p>
      <w:r>
        <w:t xml:space="preserve">(4) Als jeweils dieselbe Tatsache betreffend sind zu behandeln:</w:t>
      </w:r>
    </w:p>
    <w:p>
      <w:pPr>
        <w:ind w:left="420"/>
      </w:pPr>
      <w:r>
        <w:t xml:space="preserve">1. die Anmeldung einer zur Vertretung berechtigten Person und die gleichzeitige Anmeldung ihrer Vertretungsmacht oder deren Ausschlusses;</w:t>
      </w:r>
    </w:p>
    <w:p>
      <w:pPr>
        <w:ind w:left="420"/>
      </w:pPr>
      <w:r>
        <w:t xml:space="preserve">2. die Anmeldung der Verlegung</w:t>
      </w:r>
    </w:p>
    <w:p>
      <w:pPr>
        <w:ind w:left="780"/>
      </w:pPr>
      <w:r>
        <w:t xml:space="preserve">a) der Hauptniederlassung,</w:t>
      </w:r>
    </w:p>
    <w:p>
      <w:pPr>
        <w:ind w:left="780"/>
      </w:pPr>
      <w:r>
        <w:t xml:space="preserve">b) des Sitzes oder</w:t>
      </w:r>
    </w:p>
    <w:p>
      <w:pPr>
        <w:ind w:left="780"/>
      </w:pPr>
      <w:r>
        <w:t xml:space="preserve">c) der Zweigniederlassung</w:t>
      </w:r>
    </w:p>
    <w:p>
      <w:pPr>
        <w:ind w:left="420"/>
      </w:pPr>
      <w:r>
        <w:t xml:space="preserve">und die gleichzeitige Anmeldung der Änderung der inländischen Geschäftsanschrift;</w:t>
      </w:r>
    </w:p>
    <w:p>
      <w:pPr>
        <w:ind w:left="420"/>
      </w:pPr>
      <w:r>
        <w:t xml:space="preserve">3. mehrere Änderungen eines Gesellschaftsvertrags oder einer Satzung, die gleichzeitig angemeldet werden und nicht die Änderung eingetragener Angaben betreffen;</w:t>
      </w:r>
    </w:p>
    <w:p>
      <w:pPr>
        <w:ind w:left="420"/>
      </w:pPr>
      <w:r>
        <w:t xml:space="preserve">4. die Änderung eingetragener Angaben und die dem zugrunde liegende Änderung des Gesellschaftsvertrags oder der Satzung.</w:t>
      </w:r>
    </w:p>
    <w:p>
      <w:r>
        <w:t xml:space="preserve">(5) Anmeldungen, die am selben Tag beim Registergericht eingegangen sind und dasselbe Unternehmen betreffen, werden als eine Anmeldung behandelt.</w:t>
      </w:r>
    </w:p>
    <w:p>
      <w:r>
        <w:rPr>
          <w:color w:val="555555"/>
          <w:sz w:val="17"/>
        </w:rPr>
        <w:t xml:space="preserve">Zitiervorschlag: § 2 HRegGebV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https://recht.nulegal.eu/gesetze/HRegGebV/2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