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HRegGebV — Gebührenverzeichnis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Eintragungen in das Handels-, Genossenschafts-, Gesellschafts- oder Partnerschaftsregister, die Entgegennahme, Prüfung und Aufbewahrung der zum Handels- oder Genossenschaftsregister einzureichenden Unterlagen, die Bereitstellung von Registerdaten und von Dokumenten, die zum Register eingereicht wurden, zum Abruf sowie die Übertragung von Schriftstücken in ein elektronisches Dokument nach § 9 Abs. 2 des Handelsgesetzbuchs werden Gebühren nach dem Gebührenverzeichnis der Anlage zu dieser Verordnung erhoben. Satz 1 gilt nicht für die aus Anlass eines Insolvenzverfahrens von Amts wegen vorzunehmenden Eintragungen und für Löschungen nach § 395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1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