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HRG — Koordinierung der Ordnung von Studium und Prüfungen</w:t>
      </w:r>
    </w:p>
    <w:p>
      <w:r>
        <w:rPr>
          <w:color w:val="555555"/>
          <w:sz w:val="18"/>
        </w:rPr>
        <w:t xml:space="preserve">Hochschulrahmengesetz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Bund und Länder tragen gemeinsam Sorge für die Behandlung grundsätzlicher und struktureller Fragen des Studienangebots unter Berücksichtigung der Entwicklungen in der Wissenschaft, in der beruflichen Praxis und im Hochschulsystem.</w:t>
      </w:r>
    </w:p>
    <w:p>
      <w:r>
        <w:t xml:space="preserve">(2) Die Länder tragen gemeinsam dafür Sorge, daß die Gleichwertigkeit einander entsprechender Studien- und Prüfungsleistungen sowie Studienabschlüsse und die Möglichkeit des Hochschulwechsels gewährleistet werden.</w:t>
      </w:r>
    </w:p>
    <w:p>
      <w:r>
        <w:t xml:space="preserve">(3) Die Hochschulen und Sachverständige aus der Berufspraxis sind bei der Wahrnehmung der Aufgaben nach den Absätzen 1 und 2 zu beteiligen.</w:t>
      </w:r>
    </w:p>
    <w:p>
      <w:r>
        <w:rPr>
          <w:color w:val="555555"/>
          <w:sz w:val="17"/>
        </w:rPr>
        <w:t xml:space="preserve">Zitiervorschlag: § 9 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https://recht.nulegal.eu/gesetze/HRG/9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