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HRG — Bisherige Dienstverhältnisse und Berufungsvereinbarungen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bei Inkrafttreten des jeweiligen nach § 72 Abs. 1 Satz 9 zu erlassenden Landesgesetzes vorhandenen wissenschaftlichen und künstlerischen Assistentinnen und Assistenten, Oberassistentinnen und Oberassistenten, Oberingenieurinnen und Oberingenieure sowie Hochschuldozentinnen und Hochschuldozenten verbleiben in ihren bisherigen Dienstverhältnissen. Ihre mitgliedschaftsrechtliche Stellung bleibt unverändert.</w:t>
      </w:r>
    </w:p>
    <w:p>
      <w:r>
        <w:t xml:space="preserve">(2) Soweit Berufungsvereinbarungen über die personelle und sächliche Ausstattung der Professuren von Änderungen des 2. Abschnitts des 3. Kapitels betroffen sind, sind sie unter angemessener Berücksichtigung der beiderseitigen Interessen der neuen Rechtslage anzupassen.</w:t>
      </w:r>
    </w:p>
    <w:p>
      <w:r>
        <w:rPr>
          <w:color w:val="555555"/>
          <w:sz w:val="17"/>
        </w:rPr>
        <w:t xml:space="preserve">Zitiervorschlag: § 74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