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HRG — Ziel des Studiums</w:t>
      </w:r>
    </w:p>
    <w:p>
      <w:r>
        <w:rPr>
          <w:color w:val="555555"/>
          <w:sz w:val="18"/>
        </w:rPr>
        <w:t xml:space="preserve">Hochschulrahmengesetz</w:t>
      </w:r>
    </w:p>
    <w:p>
      <w:r>
        <w:rPr>
          <w:color w:val="555555"/>
          <w:sz w:val="18"/>
        </w:rPr>
        <w:t xml:space="preserve">Stand: 10.06.2019 (konsolidierte Textfassung, kein amtliches Inkrafttretensdatum)</w:t>
      </w:r>
    </w:p>
    <w:p>
      <w:r>
        <w:t xml:space="preserve">Lehre und Studium sollen den Studenten auf ein berufliches Tätigkeitsfeld vorbereiten und ihm die dafür erforderlichen fachlichen Kenntnisse, Fähigkeiten und Methoden dem jeweiligen Studiengang entsprechend so vermitteln, daß er zu wissenschaftlicher oder künstlerischer Arbeit und zu verantwortlichem Handeln in einem freiheitlichen, demokratischen und sozialen Rechtsstaat befähigt wird.</w:t>
      </w:r>
    </w:p>
    <w:p>
      <w:r>
        <w:rPr>
          <w:color w:val="555555"/>
          <w:sz w:val="17"/>
        </w:rPr>
        <w:t xml:space="preserve">Zitiervorschlag: § 7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