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HRG — Bewertung der Forschung, Lehre, Förderung des wissenschaftlichen Nachwuchses und der Gleichstellung der Geschlechter</w:t>
      </w:r>
    </w:p>
    <w:p>
      <w:r>
        <w:rPr>
          <w:color w:val="555555"/>
          <w:sz w:val="18"/>
        </w:rPr>
        <w:t xml:space="preserve">Hochschulrahmengesetz</w:t>
      </w:r>
    </w:p>
    <w:p>
      <w:r>
        <w:rPr>
          <w:color w:val="555555"/>
          <w:sz w:val="18"/>
        </w:rPr>
        <w:t xml:space="preserve">Stand: 10.06.2019 (konsolidierte Textfassung, kein amtliches Inkrafttretensdatum)</w:t>
      </w:r>
    </w:p>
    <w:p>
      <w:r>
        <w:t xml:space="preserve">Die Arbeit der Hochschulen in Forschung und Lehre, bei der Förderung des wissenschaftlichen Nachwuchses sowie der Erfüllung des Gleichstellungsauftrags soll regelmäßig bewertet werden. Die Studierenden sind bei der Bewertung der Qualität der Lehre zu beteiligen. Die Ergebnisse der Bewertungen sollen veröffentlicht werden.</w:t>
      </w:r>
    </w:p>
    <w:p>
      <w:r>
        <w:rPr>
          <w:color w:val="555555"/>
          <w:sz w:val="17"/>
        </w:rPr>
        <w:t xml:space="preserve">Zitiervorschlag: § 6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