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HRG — Studentenschaft</w:t>
      </w:r>
    </w:p>
    <w:p>
      <w:r>
        <w:rPr>
          <w:color w:val="555555"/>
          <w:sz w:val="18"/>
        </w:rPr>
        <w:t xml:space="preserve">Hochschulrahmengesetz</w:t>
      </w:r>
    </w:p>
    <w:p>
      <w:r>
        <w:rPr>
          <w:color w:val="555555"/>
          <w:sz w:val="18"/>
        </w:rPr>
        <w:t xml:space="preserve">Stand: 10.06.2019 (konsolidierte Textfassung, kein amtliches Inkrafttretensdatum)</w:t>
      </w:r>
    </w:p>
    <w:p>
      <w:r>
        <w:t xml:space="preserve">(1) Das Landesrecht kann vorsehen, daß an den Hochschulen zur Wahrnehmung hochschulpolitischer, sozialer und kultureller Belange der Studierenden, zur Pflege der überregionalen und internationalen Studentenbeziehungen sowie zur Wahrnehmung studentischer Belange in bezug auf die Aufgaben der Hochschulen (§§ 2 und 3) Studentenschaften gebildet werden.</w:t>
      </w:r>
    </w:p>
    <w:p>
      <w:r>
        <w:t xml:space="preserve">(2) Wird eine Studentenschaft gebildet, so verwaltet sie ihre Angelegenheiten im Rahmen der gesetzlichen Bestimmungen selbst. Sie kann von ihren Mitgliedern zur Erfüllung ihrer Aufgaben Beiträge erheben. Die Haushalts- und Wirtschaftsführung der Studentenschaft wird vom Landesrechnungshof geprüft. Die Studentenschaft untersteht der Rechtsaufsicht der Leitung der Hochschule und der zuständigen Landesbehörde.</w:t>
      </w:r>
    </w:p>
    <w:p>
      <w:r>
        <w:t xml:space="preserve">(3) Für die Mitwirkung in den Organen der Studentenschaft gilt § 37 Abs. 3 entsprechend.</w:t>
      </w:r>
    </w:p>
    <w:p>
      <w:r>
        <w:rPr>
          <w:color w:val="555555"/>
          <w:sz w:val="17"/>
        </w:rPr>
        <w:t xml:space="preserve">Zitiervorschlag: § 41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