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HRG — Zentrale Vergabe von Studienplätzen</w:t>
      </w:r>
    </w:p>
    <w:p>
      <w:r>
        <w:rPr>
          <w:color w:val="555555"/>
          <w:sz w:val="18"/>
        </w:rPr>
        <w:t xml:space="preserve">Hochschulrahmengesetz</w:t>
      </w:r>
    </w:p>
    <w:p>
      <w:r>
        <w:rPr>
          <w:color w:val="555555"/>
          <w:sz w:val="18"/>
        </w:rPr>
        <w:t xml:space="preserve">Stand: 24.11.2019 (konsolidierte Textfassung, kein amtliches Inkrafttretensdatum)</w:t>
      </w:r>
    </w:p>
    <w:p>
      <w:r>
        <w:t xml:space="preserve">(1) In Studiengängen, für die für mehrere Hochschulen Zulassungszahlen festgesetzt sind, können die Studienplätze von der von den Ländern errichteten Zentralstelle vergeben werden. In das Verfahren der Zentralstelle ist ein Studiengang zum frühestmöglichen Zeitpunkt einzubeziehen, wenn für ihn nach der Feststellung der Zentralstelle Zulassungszahlen für alle staatlichen Hochschulen festgesetzt sind und zu erwarten ist, daß die Zahl der Bewerber die Gesamtzahl der zur Verfügung stehenden Plätze übersteigt, soweit nicht wegen der Art der Zugangsvoraussetzungen oder der Auswahlmaßstäbe den Hochschulen die Entscheidung vorbehalten wird. In das Verfahren der Zentralstelle soll ein Studiengang einbezogen werden, wenn für ihn nach der Feststellung der Zentralstelle Zulassungszahlen für die Mehrzahl der staatlichen Hochschulen festgesetzt sind.</w:t>
      </w:r>
    </w:p>
    <w:p>
      <w:r>
        <w:t xml:space="preserve">(2) (weggefallen)</w:t>
      </w:r>
    </w:p>
    <w:p>
      <w:r>
        <w:t xml:space="preserve">(3) (weggefallen)</w:t>
      </w:r>
    </w:p>
    <w:p>
      <w:r>
        <w:t xml:space="preserve">(4) Besteht an einer Hochschule für den ersten Teil eines Studiengangs eine höhere Ausbildungskapazität als für spätere Teile dieses Studiengangs, kann eine auf den ersten Teil des Studiengangs beschränkte Zuweisung und Einschreibung erfolgen, wenn gewährleistet ist, daß der Student sein Studium an anderen Hochschulen im Geltungsbereich dieses Gesetzes fortsetzen kann.</w:t>
      </w:r>
    </w:p>
    <w:p>
      <w:r>
        <w:rPr>
          <w:color w:val="555555"/>
          <w:sz w:val="17"/>
        </w:rPr>
        <w:t xml:space="preserve">Zitiervorschlag: § 31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