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HRG — Bachelor- und Masterstudiengänge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Hochschulen können Studiengänge einrichten, die zu einem Bachelor- oder Bakkalaureusgrad und zu einem Master- oder Magistergrad führen.</w:t>
      </w:r>
    </w:p>
    <w:p>
      <w:r>
        <w:t xml:space="preserve">(2) Auf Grund von Prüfungen, mit denen ein erster berufsqualifizierender Abschluß erworben wird, kann die Hochschule einen Bachelor- oder Bakkalaureusgrad verleihen. Die Regelstudienzeit beträgt mindestens drei und höchstens vier Jahre.</w:t>
      </w:r>
    </w:p>
    <w:p>
      <w:r>
        <w:t xml:space="preserve">(3) Auf Grund von Prüfungen, mit denen ein weiterer berufsqualifizierender Abschluß erworben wird, kann die Hochschule einen Master- oder Magistergrad verleihen. Die Regelstudienzeit beträgt mindestens ein Jahr und höchstens zwei Jahre.</w:t>
      </w:r>
    </w:p>
    <w:p>
      <w:r>
        <w:t xml:space="preserve">(4) Bei konsekutiven Studiengängen, die zu Graden nach den Absätzen 2 und 3 führen, beträgt die Gesamtregelstudienzeit höchstens fünf Jahre.</w:t>
      </w:r>
    </w:p>
    <w:p>
      <w:r>
        <w:t xml:space="preserve">(5) § 11 Satz 2 gilt entsprechend.</w:t>
      </w:r>
    </w:p>
    <w:p>
      <w:r>
        <w:t xml:space="preserve">(6) Den Urkunden über die Verleihung der akademischen Grade fügen die Hochschulen auf Antrag eine englischsprachige Übersetzung bei.</w:t>
      </w:r>
    </w:p>
    <w:p>
      <w:r>
        <w:rPr>
          <w:color w:val="555555"/>
          <w:sz w:val="17"/>
        </w:rPr>
        <w:t xml:space="preserve">Zitiervorschlag: § 19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