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HRG — Prüfungen und Leistungspunktsystem</w:t>
      </w:r>
    </w:p>
    <w:p>
      <w:r>
        <w:rPr>
          <w:color w:val="555555"/>
          <w:sz w:val="18"/>
        </w:rPr>
        <w:t xml:space="preserve">Hochschulrahmengesetz</w:t>
      </w:r>
    </w:p>
    <w:p>
      <w:r>
        <w:rPr>
          <w:color w:val="555555"/>
          <w:sz w:val="18"/>
        </w:rPr>
        <w:t xml:space="preserve">Stand: 10.06.2019 (konsolidierte Textfassung, kein amtliches Inkrafttretensdatum)</w:t>
      </w:r>
    </w:p>
    <w:p>
      <w:r>
        <w:t xml:space="preserve">(1) Das Studium wird in der Regel durch eine Hochschulprüfung, eine staatliche oder eine kirchliche Prüfung abgeschlossen. In Studiengängen mit einer Regelstudienzeit von mindestens vier Jahren findet eine Zwischenprüfung statt. Prüfungen können auch studienbegleitend abgenommen werden. Der Übergang in das Hauptstudium setzt in der Regel die erfolgreiche Ablegung einer Zwischenprüfung voraus.</w:t>
      </w:r>
    </w:p>
    <w:p>
      <w:r>
        <w:t xml:space="preserve">(2) Für alle geeigneten Studiengänge sind die Voraussetzungen zu bestimmen, unter denen eine innerhalb der Regelstudienzeit abgelegte Abschlußprüfung im Falle des Nichtbestehens als nicht unternommen gilt (Freiversuch). Das Landesrecht kann vorsehen, daß eine im Freiversuch bestandene Prüfung zur Notenverbesserung wiederholt werden kann.</w:t>
      </w:r>
    </w:p>
    <w:p>
      <w:r>
        <w:t xml:space="preserve">(3) Zum Nachweis von Studien- und Prüfungsleistungen soll ein Leistungspunktsystem geschaffen werden, das auch die Übertragung erbrachter Leistungen auf andere Studiengänge derselben oder einer anderen Hochschule ermöglicht.</w:t>
      </w:r>
    </w:p>
    <w:p>
      <w:r>
        <w:t xml:space="preserve">(4) Prüfungsleistungen dürfen nur von Personen bewertet werden, die selbst mindestens die durch die Prüfung festzustellende oder eine gleichwertige Qualifikation besitzen.</w:t>
      </w:r>
    </w:p>
    <w:p>
      <w:r>
        <w:rPr>
          <w:color w:val="555555"/>
          <w:sz w:val="17"/>
        </w:rPr>
        <w:t xml:space="preserve">Zitiervorschlag: § 15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