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HRG — Regelstudienzeit bis zum ersten berufsqualifizierenden Abschluß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Regelstudienzeit bis zum ersten berufsqualifizierenden Abschluß beträgt, unbeschadet des § 19 Abs. 2 Satz 2,</w:t>
      </w:r>
    </w:p>
    <w:p>
      <w:pPr>
        <w:ind w:left="420"/>
      </w:pPr>
      <w:r>
        <w:t xml:space="preserve">1. bei Fachhochschulstudiengängen höchstens vier Jahre,</w:t>
      </w:r>
    </w:p>
    <w:p>
      <w:pPr>
        <w:ind w:left="420"/>
      </w:pPr>
      <w:r>
        <w:t xml:space="preserve">2. bei anderen Studiengängen viereinhalb Jahre.</w:t>
      </w:r>
    </w:p>
    <w:p>
      <w:r>
        <w:t xml:space="preserve">Darüber hinausgehende Regelstudienzeiten dürfen in besonders begründeten Fällen festgesetzt werden; dies gilt auch für Studiengänge, die in besonderen Studienformen durchgeführt werden. In geeigneten Fachrichtungen sind Studiengänge einzurichten, die in kürzerer Zeit zu einem ersten berufsqualifizierenden Abschluß führen.</w:t>
      </w:r>
    </w:p>
    <w:p>
      <w:r>
        <w:rPr>
          <w:color w:val="555555"/>
          <w:sz w:val="17"/>
        </w:rPr>
        <w:t xml:space="preserve">Zitiervorschlag: § 11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