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HRG — Anwendungsbereich</w:t>
      </w:r>
    </w:p>
    <w:p>
      <w:r>
        <w:rPr>
          <w:color w:val="555555"/>
          <w:sz w:val="18"/>
        </w:rPr>
        <w:t xml:space="preserve">Hochschulrahmengesetz</w:t>
      </w:r>
    </w:p>
    <w:p>
      <w:r>
        <w:rPr>
          <w:color w:val="555555"/>
          <w:sz w:val="18"/>
        </w:rPr>
        <w:t xml:space="preserve">Stand: 10.06.2019 (konsolidierte Textfassung, kein amtliches Inkrafttretensdatum)</w:t>
      </w:r>
    </w:p>
    <w:p>
      <w:r>
        <w:t xml:space="preserve">Hochschulen im Sinne dieses Gesetzes sind die Universitäten, die Pädagogischen Hochschulen, die Kunsthochschulen, die Fachhochschulen und die sonstigen Einrichtungen des Bildungswesens, die nach Landesrecht staatliche Hochschulen sind. Dieses Gesetz betrifft, soweit dies in § 70 bestimmt ist, auch die staatlich anerkannten Hochschulen.</w:t>
      </w:r>
    </w:p>
    <w:p>
      <w:r>
        <w:rPr>
          <w:color w:val="555555"/>
          <w:sz w:val="17"/>
        </w:rPr>
        <w:t xml:space="preserve">Zitiervorschlag: § 1 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https://recht.nulegal.eu/gesetze/HRG/1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