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HRFEG — Inkrafttreten</w:t>
      </w:r>
    </w:p>
    <w:p>
      <w:r>
        <w:rPr>
          <w:color w:val="555555"/>
          <w:sz w:val="18"/>
        </w:rPr>
        <w:t xml:space="preserve">Haushaltsrechts-Fortentwicklungsgesetz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1998 in Kraft.</w:t>
      </w:r>
    </w:p>
    <w:p>
      <w:r>
        <w:rPr>
          <w:color w:val="555555"/>
          <w:sz w:val="17"/>
        </w:rPr>
        <w:t xml:space="preserve">Zitiervorschlag: Art 7 HRFEG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https://recht.nulegal.eu/gesetze/HRFEG/7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