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HPflEGRLDV</w:t>
      </w:r>
    </w:p>
    <w:p>
      <w:r>
        <w:rPr>
          <w:color w:val="555555"/>
          <w:sz w:val="18"/>
        </w:rPr>
        <w:t xml:space="preserve">Verordnung über die Kraftfahrzeug-Haftpflichtversicherung ausländischer Kraftfahrzeuge und Kraftfahrzeuganhänger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7a, 8 Abs. 2 und § 8a Abs. 1 des Gesetzes über die Haftpflichtversicherung für ausländische Kraftfahrzeuge und Kraftfahrzeuganhänger vom 24. Juli 1956 (Bundesgesetzbl. I S. 667, 1957 S. 368), zuletzt geändert durch das Einführungsgesetz zum Strafgesetzbuch vom 2. März 1974 (Bundesgesetzbl. I S. 469), wird nach Anhörung der obersten Landesbehörden verordnet:</w:t>
      </w:r>
    </w:p>
    <w:p>
      <w:r>
        <w:rPr>
          <w:color w:val="555555"/>
          <w:sz w:val="17"/>
        </w:rPr>
        <w:t xml:space="preserve">Zitiervorschlag: Eingangsformel HPflEGRLDV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https://recht.nulegal.eu/gesetze/HPflEGRLDV/eingangsformel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