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HPflEGRLDV — Ausnahmen von der Pflicht zum Mitführen und Aushändigen des Versicherungsnachweises</w:t>
      </w:r>
    </w:p>
    <w:p>
      <w:r>
        <w:rPr>
          <w:color w:val="555555"/>
          <w:sz w:val="18"/>
        </w:rPr>
        <w:t xml:space="preserve">Verordnung über die Kraftfahrzeug-Haftpflichtversicherung ausländischer Kraftfahrzeuge und Kraftfahrzeuganhänger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Von der Pflicht zum Mitführen und Aushändigen des Versicherungsnachweises nach § 12 Absatz 1 des Auslandsfahrzeug-Pflichtversicherungsgesetzes sind die Fahrer folgender Fahrzeuge ausgenommen:</w:t>
      </w:r>
    </w:p>
    <w:p>
      <w:pPr>
        <w:ind w:left="420"/>
      </w:pPr>
      <w:r>
        <w:t xml:space="preserve">1. Kraftfahrzeuge und Kraftfahrzeuganhänger, die ein vorgeschriebenes Kennzeichen folgender Staaten oder Gebiete führen:AndorraBosnien und HerzegowinaGrönlandIslandLiechtensteinMonacoMontenegroNorwegenSan MarinoSchweizSerbienVatikanstadtVereinigtes Königreich;</w:t>
      </w:r>
    </w:p>
    <w:p>
      <w:pPr>
        <w:ind w:left="420"/>
      </w:pPr>
      <w:r>
        <w:t xml:space="preserve">2. zweirädrige Kraftfahrzeuge (einschließlich Fahrräder mit Hilfsmotor), für die ein Kennzeichen nicht vorgeschrieben ist und deren Führer seinen gesetzlichen Wohnsitz in</w:t>
      </w:r>
    </w:p>
    <w:p>
      <w:pPr>
        <w:ind w:left="780"/>
      </w:pPr>
      <w:r>
        <w:t xml:space="preserve">Grönland oderNorwegen</w:t>
      </w:r>
    </w:p>
    <w:p>
      <w:pPr>
        <w:ind w:left="420"/>
      </w:pPr>
      <w:r>
        <w:t xml:space="preserve">hat;</w:t>
      </w:r>
    </w:p>
    <w:p>
      <w:pPr>
        <w:ind w:left="420"/>
      </w:pPr>
      <w:r>
        <w:t xml:space="preserve">3. Fahrräder mit Hilfsmotor, für die ein Kennzeichen nicht vorgeschrieben ist, die einen Hubraum von nicht mehr als 50 ccm haben und deren Führer seinen gesetzlichen Wohnsitz in</w:t>
      </w:r>
    </w:p>
    <w:p>
      <w:pPr>
        <w:ind w:left="780"/>
      </w:pPr>
      <w:r>
        <w:t xml:space="preserve">Monaco</w:t>
      </w:r>
    </w:p>
    <w:p>
      <w:pPr>
        <w:ind w:left="420"/>
      </w:pPr>
      <w:r>
        <w:t xml:space="preserve">hat.</w:t>
      </w:r>
    </w:p>
    <w:p>
      <w:r>
        <w:t xml:space="preserve">(2) Die Ausnahme nach Absatz 1 Nummer 1 erstreckt sich nicht auf folgende Fahrzeuge von San Marino und Vatikanstadt: landwirtschaftliche Fahrzeuge, insbesondere landwirtschaftliche Zugmaschinen, ihre Anhänger sowie landwirtschaftliche Arbeitsgeräte.</w:t>
      </w:r>
    </w:p>
    <w:p>
      <w:r>
        <w:t xml:space="preserve">(3) Die Ausnahme nach Absatz 1 Nummer 1 erstreckt sich nicht auf Militärfahrzeuge, die in Bosnien und Herzegowina, Montenegro oder im Vereinigten Königreich zugelassen sind.</w:t>
      </w:r>
    </w:p>
    <w:p>
      <w:r>
        <w:rPr>
          <w:color w:val="555555"/>
          <w:sz w:val="17"/>
        </w:rPr>
        <w:t xml:space="preserve">Zitiervorschlag: § 3 HPflEGRLDV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https://recht.nulegal.eu/gesetze/HPflEGRLDV/3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