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HPV (Brandenburg) — Anwendung der Landeshaushaltsordnung</w:t>
      </w:r>
    </w:p>
    <w:p>
      <w:r>
        <w:rPr>
          <w:color w:val="555555"/>
          <w:sz w:val="18"/>
        </w:rPr>
        <w:t xml:space="preserve">Haushalts- und 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Abweichend von § 105 Absatz 1 Nummer 1 der Landeshaushaltsordnung gelten die §§ 106 bis 109, ausgenommen § 109 Absatz 2 Satz 3, sowie § 110 der Landeshaushaltsordnung nicht.</w:t>
      </w:r>
    </w:p>
    <w:p>
      <w:r>
        <w:t xml:space="preserve">(2) Der Wirtschaftsplan und das Ergebnis der Prüfung des Jahresabschlusses sind der Aufsichtsbehörde spätestens einen Monat vor Befassung der Verbandsversammlung oder des Verbandsausschusses vorzulegen.</w:t>
      </w:r>
    </w:p>
    <w:p>
      <w:r>
        <w:t xml:space="preserve">(3) Soweit das Gesetz über die Bildung von Gewässerunterhaltungsverbänden und die nachfolgenden Vorschriften nichts Abweichendes regeln, gelten gemäß § 105 Absatz 1 Nummer 2 der Landeshaushaltsordnung die §§ 1 bis 87 der Landeshaushaltsordnung entsprechend mit folgenden Maßgaben:</w:t>
      </w:r>
    </w:p>
    <w:p>
      <w:r>
        <w:t xml:space="preserve">die §§ 8, 17a, 19 bis 22, 25, 36, 37, 39, 41 und 45 bis 47 der Landeshaushaltsordnung finden keine Anwendung,</w:t>
      </w:r>
    </w:p>
    <w:p>
      <w:r>
        <w:t xml:space="preserve">§ 52 Satz 1 der Landeshaushaltsordnung gilt mit der Maßgabe, dass an die Stelle der Angehörigen des öffentlichen Dienstes die Angestellten des Gewässerunterhaltungsverbandes treten,</w:t>
      </w:r>
    </w:p>
    <w:p>
      <w:r>
        <w:t xml:space="preserve">an die Stelle der in der Landeshaushaltsordnung genannten Einrichtungen und Behörden des Landes tritt der Vorstand des Verbandes, soweit die Verbandssatzung keine abweichenden Bestimmungen vorsieht.</w:t>
      </w:r>
    </w:p>
    <w:p>
      <w:r>
        <w:t xml:space="preserve">(4) Das Prüfungsrecht des Landesrechnungshofes gemäß § 111 der Landeshaushaltsordnung bleibt unberührt.</w:t>
      </w:r>
    </w:p>
    <w:p>
      <w:r>
        <w:rPr>
          <w:color w:val="555555"/>
          <w:sz w:val="17"/>
        </w:rPr>
        <w:t xml:space="preserve">Zitiervorschlag: § 2 HPV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