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HPV (Brandenburg) — Übergangsvorschriften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Verbände, die bisher keine Übersicht über den Mittelzu- und -abfluss erstellt haben, haben einen Finanzplan gemäß § 6 und einen Investitionsplan gemäß § 8 erstmalig zum 1. Januar 2025 aufzustellen.</w:t>
      </w:r>
    </w:p>
    <w:p>
      <w:r>
        <w:t xml:space="preserve">(2) Wird ein Finanzplan erstmalig für das Wirtschaftsjahr 2025 erstellt, ist die Finanzrechnung gemäß § 11 erstmalig mit dem Jahresabschluss 2025 zu erstellen. Wurde bisher kein Anlagenspiegel erstellt, ist dieser erstmalig mit dem Jahresabschluss 2025 zu erstellen.</w:t>
      </w:r>
    </w:p>
    <w:p>
      <w:r>
        <w:rPr>
          <w:color w:val="555555"/>
          <w:sz w:val="17"/>
        </w:rPr>
        <w:t xml:space="preserve">Zitiervorschlag: § 15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