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HOAI 2013 — Grundlagen des Honorars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Bei der Ermittlung des Honorars für Grundleistungen im Sinne des § 3 Absatz 1 sind zugrunde zu legen</w:t>
      </w:r>
    </w:p>
    <w:p>
      <w:pPr>
        <w:ind w:left="420"/>
      </w:pPr>
      <w:r>
        <w:t xml:space="preserve">1. das Leistungsbild,</w:t>
      </w:r>
    </w:p>
    <w:p>
      <w:pPr>
        <w:ind w:left="420"/>
      </w:pPr>
      <w:r>
        <w:t xml:space="preserve">2. die Honorarzone und</w:t>
      </w:r>
    </w:p>
    <w:p>
      <w:pPr>
        <w:ind w:left="420"/>
      </w:pPr>
      <w:r>
        <w:t xml:space="preserve">3. die dazugehörige Honorartafel zur Honorarorientierung.</w:t>
      </w:r>
    </w:p>
    <w:p>
      <w:r>
        <w:t xml:space="preserve">Zusätzlich zu den Grundlagen nach Satz 1 ermittelt sich das Honorar</w:t>
      </w:r>
    </w:p>
    <w:p>
      <w:pPr>
        <w:ind w:left="420"/>
      </w:pPr>
      <w:r>
        <w:t xml:space="preserve">1. für die Leistungsbilder des Teils 2 und der Anlage 1 Nummer 1.1 nach der Größe der Fläche,</w:t>
      </w:r>
    </w:p>
    <w:p>
      <w:pPr>
        <w:ind w:left="420"/>
      </w:pPr>
      <w:r>
        <w:t xml:space="preserve">2. für die Leistungsbilder der Teile 3 und 4 und der Anlage 1 Nummer 1.2, 1.3 und 1.4.5 nach den anrechenbaren Kosten des Objekts auf der Grundlage der Kostenberechnung oder, sofern keine Kostenberechnung vorliegt, auf der Grundlage der Kostenschätzung,</w:t>
      </w:r>
    </w:p>
    <w:p>
      <w:pPr>
        <w:ind w:left="420"/>
      </w:pPr>
      <w:r>
        <w:t xml:space="preserve">3. für das Leistungsbild der Anlage 1 Nummer 1.4.2 nach Verrechnungseinheiten.</w:t>
      </w:r>
    </w:p>
    <w:p>
      <w:r>
        <w:t xml:space="preserve">(2) Honorare für Grundleistungen bei Umbauten und Modernisierungen gemäß § 2 Absatz 5 und 6 sind zu ermitteln nach</w:t>
      </w:r>
    </w:p>
    <w:p>
      <w:pPr>
        <w:ind w:left="420"/>
      </w:pPr>
      <w:r>
        <w:t xml:space="preserve">1. den anrechenbaren Kosten,</w:t>
      </w:r>
    </w:p>
    <w:p>
      <w:pPr>
        <w:ind w:left="420"/>
      </w:pPr>
      <w:r>
        <w:t xml:space="preserve">2. der Honorarzone, welcher der Umbau oder die Modernisierung in sinngemäßer Anwendung der Bewertungsmerkmale zuzuordnen ist,</w:t>
      </w:r>
    </w:p>
    <w:p>
      <w:pPr>
        <w:ind w:left="420"/>
      </w:pPr>
      <w:r>
        <w:t xml:space="preserve">3. den Leistungsphasen,</w:t>
      </w:r>
    </w:p>
    <w:p>
      <w:pPr>
        <w:ind w:left="420"/>
      </w:pPr>
      <w:r>
        <w:t xml:space="preserve">4. der Honorartafel zur Honorarorientierung und</w:t>
      </w:r>
    </w:p>
    <w:p>
      <w:pPr>
        <w:ind w:left="420"/>
      </w:pPr>
      <w:r>
        <w:t xml:space="preserve">5. dem Umbau- oder Modernisierungszuschlag auf das Honorar.</w:t>
      </w:r>
    </w:p>
    <w:p>
      <w:r>
        <w:t xml:space="preserve">Der Umbau- oder Modernisierungszuschlag ist unter Berücksichtigung des Schwierigkeitsgrads der Leistungen in Textform zu vereinbaren. Die Höhe des Zuschlags auf das Honorar ist in den jeweiligen Honorarregelungen der Leistungsbilder der Teile 3 und 4 und in Anlage 1 Nummer 1.2 geregelt. Sofern keine Vereinbarung in Textform getroffen wurde, gilt ein Zuschlag von 20 Prozent ab einem durchschnittlichen Schwierigkeitsgrad als vereinbart.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https://recht.nulegal.eu/gesetze/HOAI%202013/6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