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HOAI 2013 — Übergangsvorschrift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Diese Verordnung ist nicht auf Grundleistungen anzuwenden, die vor dem 17. Juli 2013 vertraglich vereinbart wurden; insoweit bleiben die bisherigen Vorschriften anwendbar.</w:t>
      </w:r>
    </w:p>
    <w:p>
      <w:r>
        <w:t xml:space="preserve">(2) Die durch die Erste Verordnung zur Änderung der Honorarordnung für Architekten und Ingenieure vom 2. Dezember 2020 (BGBl. I S. 2636) geänderten Vorschriften sind erst auf diejenigen Vertragsverhältnisse anzuwenden, die nach Ablauf des 31. Dezember 2020 begründet worden sind.</w:t>
      </w:r>
    </w:p>
    <w:p>
      <w:r>
        <w:rPr>
          <w:color w:val="555555"/>
          <w:sz w:val="17"/>
        </w:rPr>
        <w:t xml:space="preserve">Zitiervorschlag: § 57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