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HOAI 2013 — Honorare für Grundleistungen der Technischen Ausrüstung</w:t>
      </w:r>
    </w:p>
    <w:p>
      <w:r>
        <w:rPr>
          <w:color w:val="555555"/>
          <w:sz w:val="18"/>
        </w:rPr>
        <w:t xml:space="preserve">Honorarordnung für Architekten und Ingenieure</w:t>
      </w:r>
    </w:p>
    <w:p>
      <w:r>
        <w:rPr>
          <w:color w:val="555555"/>
          <w:sz w:val="18"/>
        </w:rPr>
        <w:t xml:space="preserve">Stand: 01.01.2021 (konsolidierte Textfassung, kein amtliches Inkrafttretensdatum)</w:t>
      </w:r>
    </w:p>
    <w:p>
      <w:r>
        <w:t xml:space="preserve">(1) Für die in § 55 und der Anlage 15 Nummer 15.1 genannten Grundleistungen bei einzelnen Anlagen sind die in der nachstehenden Honorartafel aufgeführten Honorarspannen Orientierungswerte:</w:t>
      </w:r>
    </w:p>
    <w:p>
      <w:r>
        <w:rPr>
          <w:rFonts w:ascii="Courier New" w:hAnsi="Courier New"/>
          <w:sz w:val="17"/>
        </w:rPr>
        <w:t xml:space="preserve">Anrechenbare Kosten in Euro    Honorarzone I geringe Anforderungen    Honorarzone II durchschnittliche Anforderungen    Honorarzone III hohe Anforderungen</w:t>
      </w:r>
    </w:p>
    <w:p>
      <w:r>
        <w:rPr>
          <w:rFonts w:ascii="Courier New" w:hAnsi="Courier New"/>
          <w:sz w:val="17"/>
        </w:rPr>
        <w:t xml:space="preserve">von    bis    von    bis    von    bis</w:t>
      </w:r>
    </w:p>
    <w:p>
      <w:r>
        <w:rPr>
          <w:rFonts w:ascii="Courier New" w:hAnsi="Courier New"/>
          <w:sz w:val="17"/>
        </w:rPr>
        <w:t xml:space="preserve">Euro    Euro    Euro</w:t>
      </w:r>
    </w:p>
    <w:p>
      <w:r>
        <w:rPr>
          <w:rFonts w:ascii="Courier New" w:hAnsi="Courier New"/>
          <w:sz w:val="17"/>
        </w:rPr>
        <w:t xml:space="preserve">5 000    2 132    2 547    2 547    2 990    2 990    3 405</w:t>
      </w:r>
    </w:p>
    <w:p>
      <w:r>
        <w:rPr>
          <w:rFonts w:ascii="Courier New" w:hAnsi="Courier New"/>
          <w:sz w:val="17"/>
        </w:rPr>
        <w:t xml:space="preserve">10 000    3 689    4 408    4 408    5 174    5 174    5 893</w:t>
      </w:r>
    </w:p>
    <w:p>
      <w:r>
        <w:rPr>
          <w:rFonts w:ascii="Courier New" w:hAnsi="Courier New"/>
          <w:sz w:val="17"/>
        </w:rPr>
        <w:t xml:space="preserve">15 000    5 084    6 075    6 075    7 131    7 131    8 122</w:t>
      </w:r>
    </w:p>
    <w:p>
      <w:r>
        <w:rPr>
          <w:rFonts w:ascii="Courier New" w:hAnsi="Courier New"/>
          <w:sz w:val="17"/>
        </w:rPr>
        <w:t xml:space="preserve">25 000    7 615    9 098    9 098    10 681    10 681    12 164</w:t>
      </w:r>
    </w:p>
    <w:p>
      <w:r>
        <w:rPr>
          <w:rFonts w:ascii="Courier New" w:hAnsi="Courier New"/>
          <w:sz w:val="17"/>
        </w:rPr>
        <w:t xml:space="preserve">35 000    9 934    11 869    11 869    13 934    13 934    15 869</w:t>
      </w:r>
    </w:p>
    <w:p>
      <w:r>
        <w:rPr>
          <w:rFonts w:ascii="Courier New" w:hAnsi="Courier New"/>
          <w:sz w:val="17"/>
        </w:rPr>
        <w:t xml:space="preserve">50 000    13 165    15 729    15 729    18 465    18 465    21 029</w:t>
      </w:r>
    </w:p>
    <w:p>
      <w:r>
        <w:rPr>
          <w:rFonts w:ascii="Courier New" w:hAnsi="Courier New"/>
          <w:sz w:val="17"/>
        </w:rPr>
        <w:t xml:space="preserve">75 000    18 122    21 652    21 652    25 418    25 418    28 948</w:t>
      </w:r>
    </w:p>
    <w:p>
      <w:r>
        <w:rPr>
          <w:rFonts w:ascii="Courier New" w:hAnsi="Courier New"/>
          <w:sz w:val="17"/>
        </w:rPr>
        <w:t xml:space="preserve">100 000    22 723    27 150    27 150    31 872    31 872    36 299</w:t>
      </w:r>
    </w:p>
    <w:p>
      <w:r>
        <w:rPr>
          <w:rFonts w:ascii="Courier New" w:hAnsi="Courier New"/>
          <w:sz w:val="17"/>
        </w:rPr>
        <w:t xml:space="preserve">150 000    31 228    37 311    37 311    43 800    43 800    49 883</w:t>
      </w:r>
    </w:p>
    <w:p>
      <w:r>
        <w:rPr>
          <w:rFonts w:ascii="Courier New" w:hAnsi="Courier New"/>
          <w:sz w:val="17"/>
        </w:rPr>
        <w:t xml:space="preserve">250 000    46 640    55 726    55 726    65 418    65 418    74 504</w:t>
      </w:r>
    </w:p>
    <w:p>
      <w:r>
        <w:rPr>
          <w:rFonts w:ascii="Courier New" w:hAnsi="Courier New"/>
          <w:sz w:val="17"/>
        </w:rPr>
        <w:t xml:space="preserve">500 000    80 684    96 402    96 402    113 168    113 168    128 886</w:t>
      </w:r>
    </w:p>
    <w:p>
      <w:r>
        <w:rPr>
          <w:rFonts w:ascii="Courier New" w:hAnsi="Courier New"/>
          <w:sz w:val="17"/>
        </w:rPr>
        <w:t xml:space="preserve">750 000    111 105    132 749    132 749    155 836    155 836    177 480</w:t>
      </w:r>
    </w:p>
    <w:p>
      <w:r>
        <w:rPr>
          <w:rFonts w:ascii="Courier New" w:hAnsi="Courier New"/>
          <w:sz w:val="17"/>
        </w:rPr>
        <w:t xml:space="preserve">1 000 000    139 347    166 493    166 493    195 448    195 448    222 594</w:t>
      </w:r>
    </w:p>
    <w:p>
      <w:r>
        <w:rPr>
          <w:rFonts w:ascii="Courier New" w:hAnsi="Courier New"/>
          <w:sz w:val="17"/>
        </w:rPr>
        <w:t xml:space="preserve">1 250 000    166 043    198 389    198 389    232 891    232 891    265 237</w:t>
      </w:r>
    </w:p>
    <w:p>
      <w:r>
        <w:rPr>
          <w:rFonts w:ascii="Courier New" w:hAnsi="Courier New"/>
          <w:sz w:val="17"/>
        </w:rPr>
        <w:t xml:space="preserve">1 500 000    191 545    228 859    228 859    268 660    268 660    305 974</w:t>
      </w:r>
    </w:p>
    <w:p>
      <w:r>
        <w:rPr>
          <w:rFonts w:ascii="Courier New" w:hAnsi="Courier New"/>
          <w:sz w:val="17"/>
        </w:rPr>
        <w:t xml:space="preserve">2 000 000    239 792    286 504    286 504    336 331    336 331    383 044</w:t>
      </w:r>
    </w:p>
    <w:p>
      <w:r>
        <w:rPr>
          <w:rFonts w:ascii="Courier New" w:hAnsi="Courier New"/>
          <w:sz w:val="17"/>
        </w:rPr>
        <w:t xml:space="preserve">2 500 000    285 649    341 295    341 295    400 650    400 650    456 296</w:t>
      </w:r>
    </w:p>
    <w:p>
      <w:r>
        <w:rPr>
          <w:rFonts w:ascii="Courier New" w:hAnsi="Courier New"/>
          <w:sz w:val="17"/>
        </w:rPr>
        <w:t xml:space="preserve">3 000 000    329 420    393 593    393 593    462 044    462 044    526 217</w:t>
      </w:r>
    </w:p>
    <w:p>
      <w:r>
        <w:rPr>
          <w:rFonts w:ascii="Courier New" w:hAnsi="Courier New"/>
          <w:sz w:val="17"/>
        </w:rPr>
        <w:t xml:space="preserve">3 500 000    371 491    443 859    443 859    521 052    521 052    593 420</w:t>
      </w:r>
    </w:p>
    <w:p>
      <w:r>
        <w:rPr>
          <w:rFonts w:ascii="Courier New" w:hAnsi="Courier New"/>
          <w:sz w:val="17"/>
        </w:rPr>
        <w:t xml:space="preserve">4 000 000    412 126    492 410    492 410    578 046    578 046    658 331</w:t>
      </w:r>
    </w:p>
    <w:p>
      <w:r>
        <w:t xml:space="preserve">(2) Welchen Honorarzonen die Grundleistungen zugeordnet werden, richtet sich nach folgenden Bewertungsmerkmalen:</w:t>
      </w:r>
    </w:p>
    <w:p>
      <w:pPr>
        <w:ind w:left="420"/>
      </w:pPr>
      <w:r>
        <w:t xml:space="preserve">1. Anzahl der Funktionsbereiche,</w:t>
      </w:r>
    </w:p>
    <w:p>
      <w:pPr>
        <w:ind w:left="420"/>
      </w:pPr>
      <w:r>
        <w:t xml:space="preserve">2. Integrationsansprüche,</w:t>
      </w:r>
    </w:p>
    <w:p>
      <w:pPr>
        <w:ind w:left="420"/>
      </w:pPr>
      <w:r>
        <w:t xml:space="preserve">3. technische Ausgestaltung,</w:t>
      </w:r>
    </w:p>
    <w:p>
      <w:pPr>
        <w:ind w:left="420"/>
      </w:pPr>
      <w:r>
        <w:t xml:space="preserve">4. Anforderungen an die Technik,</w:t>
      </w:r>
    </w:p>
    <w:p>
      <w:pPr>
        <w:ind w:left="420"/>
      </w:pPr>
      <w:r>
        <w:t xml:space="preserve">5. konstruktive Anforderungen.</w:t>
      </w:r>
    </w:p>
    <w:p>
      <w:r>
        <w:t xml:space="preserve">(3) Für die Zuordnung zu den Honorarzonen ist die Objektliste der Anlage 15 Nummer 15.2 zu berücksichtigen.</w:t>
      </w:r>
    </w:p>
    <w:p>
      <w:r>
        <w:t xml:space="preserve">(4) Werden Anlagen einer Gruppe verschiedenen Honorarzonen zugeordnet, so ergibt sich das Honorar nach Absatz 1 aus der Summe der Einzelhonorare. Ein Einzelhonorar wird dabei für alle Anlagen ermittelt, die einer Honorarzone zugeordnet werden. Für die Ermittlung des Einzelhonorars ist zunächst das Honorar für die Anlagen jeder Honorarzone zu berechnen, das sich ergeben würde, wenn die gesamten anrechenbaren Kosten der Anlagengruppe nur der Honorarzone zugeordnet würden, für die das Einzelhonorar berechnet wird. Das Einzelhonorar ist dann nach dem Verhältnis der Summe der anrechenbaren Kosten der Anlagen einer Honorarzone zu den gesamten anrechenbaren Kosten der Anlagengruppe zu ermitteln.</w:t>
      </w:r>
    </w:p>
    <w:p>
      <w:r>
        <w:t xml:space="preserve">(5) Für Umbauten und Modernisierungen kann bei einem durchschnittlichen Schwierigkeitsgrad ein Zuschlag gemäß § 6 Absatz 2 Satz 3 bis 50 Prozent in Textform vereinbart werden.</w:t>
      </w:r>
    </w:p>
    <w:p>
      <w:r>
        <w:t xml:space="preserve">(6) (weggefallen)</w:t>
      </w:r>
    </w:p>
    <w:p>
      <w:r>
        <w:rPr>
          <w:color w:val="555555"/>
          <w:sz w:val="17"/>
        </w:rPr>
        <w:t xml:space="preserve">Zitiervorschlag: § 56 HOAI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https://recht.nulegal.eu/gesetze/HOAI%202013/56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